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425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0069-01-2026-000672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Дмитриевой Альбины Ивановны,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Дмитриева А.И., являясь должностным лицом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Базовая, дом 10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представила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4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выездной налоговой проверкой, по требованию </w:t>
      </w:r>
      <w:r>
        <w:rPr>
          <w:rFonts w:ascii="Times New Roman" w:eastAsia="Times New Roman" w:hAnsi="Times New Roman" w:cs="Times New Roman"/>
        </w:rPr>
        <w:t>№ 9161/13/СА от 30.09.2025 года</w:t>
      </w:r>
      <w:r>
        <w:rPr>
          <w:rFonts w:ascii="Times New Roman" w:eastAsia="Times New Roman" w:hAnsi="Times New Roman" w:cs="Times New Roman"/>
        </w:rPr>
        <w:t xml:space="preserve"> в соответствии с п. 5 ст. 93.1 НК РФ в срок до 15.10.2025 года (требование получено – 08.10.2025 года), срок предоставления документов - 5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Дмитриева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извещенная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>№ 25392 от 23.01.2026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требование № 9161/13/СА о предоставлении документов (информации) от 30.09.2025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поручение № 05-1871 об истребовании документов (информации) от 23.09.2025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информационное письмо № 5388/13ТР/413К от 02.12.2025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уведомление № 5145/13ТР/413К от 10.12.2025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</w:t>
      </w:r>
      <w:r>
        <w:rPr>
          <w:rFonts w:ascii="Times New Roman" w:eastAsia="Times New Roman" w:hAnsi="Times New Roman" w:cs="Times New Roman"/>
        </w:rPr>
        <w:t>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1 ст. 93.1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установленных обстоятельствах суд, считая виновность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доказанной, квалифицирует ее действия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Дмитриеву Альбину Ивановну</w:t>
      </w:r>
      <w:r>
        <w:rPr>
          <w:rFonts w:ascii="Times New Roman" w:eastAsia="Times New Roman" w:hAnsi="Times New Roman" w:cs="Times New Roman"/>
        </w:rPr>
        <w:t xml:space="preserve"> признать виновной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0412365400695004252615122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25.02.2026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5-425-2614/2026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3">
    <w:name w:val="cat-UserDefined grp-4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